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C6FE" w14:textId="77777777" w:rsidR="00FD7563" w:rsidRPr="00333527" w:rsidRDefault="005024B4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>A</w:t>
      </w: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us Protest gegen die Gesundheitspolitik, </w:t>
      </w:r>
      <w:r w:rsidR="00FD7563" w:rsidRPr="00333527">
        <w:rPr>
          <w:rFonts w:ascii="Arial" w:hAnsi="Arial" w:cs="Arial"/>
          <w:b/>
          <w:bCs/>
          <w:color w:val="CD1717"/>
          <w:sz w:val="40"/>
          <w:szCs w:val="40"/>
        </w:rPr>
        <w:br/>
      </w: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>die mittlerweile unsere Existenz bedroht</w:t>
      </w: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, </w:t>
      </w:r>
    </w:p>
    <w:p w14:paraId="0FEE435B" w14:textId="1A786435" w:rsidR="00C76259" w:rsidRPr="00333527" w:rsidRDefault="00FD7563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und </w:t>
      </w:r>
      <w:r w:rsidR="00333527" w:rsidRPr="00333527">
        <w:rPr>
          <w:rFonts w:ascii="Arial" w:hAnsi="Arial" w:cs="Arial"/>
          <w:b/>
          <w:bCs/>
          <w:color w:val="CD1717"/>
          <w:sz w:val="40"/>
          <w:szCs w:val="40"/>
        </w:rPr>
        <w:t>als Dank an</w:t>
      </w: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 unsere</w:t>
      </w:r>
      <w:r w:rsidR="00333527"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 stark belasteten</w:t>
      </w: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 Medizinischen Fachangestellten, </w:t>
      </w:r>
      <w:r w:rsidR="005024B4" w:rsidRPr="00333527">
        <w:rPr>
          <w:rFonts w:ascii="Arial" w:hAnsi="Arial" w:cs="Arial"/>
          <w:b/>
          <w:bCs/>
          <w:color w:val="CD1717"/>
          <w:sz w:val="40"/>
          <w:szCs w:val="40"/>
        </w:rPr>
        <w:t>bleibt u</w:t>
      </w:r>
      <w:r w:rsidR="005B1D2D"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nsere Praxis </w:t>
      </w:r>
    </w:p>
    <w:p w14:paraId="2D7FAD6E" w14:textId="162D1793" w:rsidR="005B1D2D" w:rsidRPr="00FD7563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2"/>
          <w:szCs w:val="32"/>
        </w:rPr>
      </w:pPr>
    </w:p>
    <w:p w14:paraId="5AEE283C" w14:textId="22931316" w:rsidR="005B1D2D" w:rsidRPr="00333527" w:rsidRDefault="005024B4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72"/>
          <w:szCs w:val="56"/>
        </w:rPr>
      </w:pPr>
      <w:r w:rsidRPr="00FD7563">
        <w:rPr>
          <w:rFonts w:ascii="Arial" w:hAnsi="Arial" w:cs="Arial"/>
          <w:b/>
          <w:bCs/>
          <w:color w:val="CD1717"/>
          <w:sz w:val="92"/>
          <w:szCs w:val="68"/>
        </w:rPr>
        <w:t>bis</w:t>
      </w:r>
      <w:r w:rsidR="00FD7563" w:rsidRPr="00FD7563">
        <w:rPr>
          <w:rFonts w:ascii="Arial" w:hAnsi="Arial" w:cs="Arial"/>
          <w:b/>
          <w:bCs/>
          <w:color w:val="CD1717"/>
          <w:sz w:val="92"/>
          <w:szCs w:val="68"/>
        </w:rPr>
        <w:t xml:space="preserve"> inkl.</w:t>
      </w:r>
      <w:r w:rsidRPr="00FD7563">
        <w:rPr>
          <w:rFonts w:ascii="Arial" w:hAnsi="Arial" w:cs="Arial"/>
          <w:b/>
          <w:bCs/>
          <w:color w:val="CD1717"/>
          <w:sz w:val="92"/>
          <w:szCs w:val="68"/>
        </w:rPr>
        <w:t xml:space="preserve"> </w:t>
      </w:r>
      <w:r w:rsidR="00FD7563" w:rsidRPr="00FD7563">
        <w:rPr>
          <w:rFonts w:ascii="Arial" w:hAnsi="Arial" w:cs="Arial"/>
          <w:b/>
          <w:bCs/>
          <w:color w:val="CD1717"/>
          <w:sz w:val="92"/>
          <w:szCs w:val="68"/>
        </w:rPr>
        <w:t>1. Januar 2024</w:t>
      </w:r>
    </w:p>
    <w:p w14:paraId="5EA9CE66" w14:textId="33600230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28"/>
          <w:szCs w:val="28"/>
        </w:rPr>
      </w:pPr>
    </w:p>
    <w:p w14:paraId="0540AAD5" w14:textId="2DAF58E7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>geschlossen.</w:t>
      </w:r>
    </w:p>
    <w:p w14:paraId="42B499B0" w14:textId="2578CFD4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</w:p>
    <w:p w14:paraId="12888328" w14:textId="77777777" w:rsidR="00A34D31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 xml:space="preserve">Mehr Informationen: </w:t>
      </w:r>
    </w:p>
    <w:p w14:paraId="26C9B828" w14:textId="6C4BD05F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>www.PraxisInNot.de</w:t>
      </w:r>
    </w:p>
    <w:p w14:paraId="1F175993" w14:textId="41F42F27" w:rsidR="005B1D2D" w:rsidRPr="00333527" w:rsidRDefault="00FD7563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bookmarkStart w:id="0" w:name="_GoBack"/>
      <w:bookmarkEnd w:id="0"/>
      <w:r w:rsidRPr="00333527">
        <w:rPr>
          <w:rFonts w:ascii="Arial" w:hAnsi="Arial" w:cs="Arial"/>
          <w:noProof/>
          <w:sz w:val="16"/>
          <w:szCs w:val="16"/>
          <w14:ligatures w14:val="none"/>
        </w:rPr>
        <w:drawing>
          <wp:anchor distT="0" distB="0" distL="114300" distR="114300" simplePos="0" relativeHeight="251658240" behindDoc="0" locked="0" layoutInCell="1" allowOverlap="1" wp14:anchorId="31F704E0" wp14:editId="722153DA">
            <wp:simplePos x="0" y="0"/>
            <wp:positionH relativeFrom="column">
              <wp:posOffset>5329555</wp:posOffset>
            </wp:positionH>
            <wp:positionV relativeFrom="paragraph">
              <wp:posOffset>311023</wp:posOffset>
            </wp:positionV>
            <wp:extent cx="942975" cy="942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EEAE1" w14:textId="2B71A5D9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333527">
        <w:rPr>
          <w:rFonts w:ascii="Arial" w:hAnsi="Arial" w:cs="Arial"/>
          <w:b/>
          <w:bCs/>
          <w:color w:val="CD1717"/>
          <w:sz w:val="40"/>
          <w:szCs w:val="40"/>
        </w:rPr>
        <w:t>Ihr Praxisteam</w:t>
      </w:r>
    </w:p>
    <w:sectPr w:rsidR="005B1D2D" w:rsidRPr="00333527" w:rsidSect="005B1D2D">
      <w:headerReference w:type="default" r:id="rId7"/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3A38" w14:textId="77777777" w:rsidR="005B1D2D" w:rsidRDefault="005B1D2D" w:rsidP="005B1D2D">
      <w:r>
        <w:separator/>
      </w:r>
    </w:p>
  </w:endnote>
  <w:endnote w:type="continuationSeparator" w:id="0">
    <w:p w14:paraId="3C345DBC" w14:textId="77777777" w:rsidR="005B1D2D" w:rsidRDefault="005B1D2D" w:rsidP="005B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F8A6" w14:textId="77777777" w:rsidR="005B1D2D" w:rsidRDefault="005B1D2D" w:rsidP="005B1D2D">
      <w:r>
        <w:separator/>
      </w:r>
    </w:p>
  </w:footnote>
  <w:footnote w:type="continuationSeparator" w:id="0">
    <w:p w14:paraId="7777F2A3" w14:textId="77777777" w:rsidR="005B1D2D" w:rsidRDefault="005B1D2D" w:rsidP="005B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786E" w14:textId="78DFEED6" w:rsidR="005B1D2D" w:rsidRDefault="005B1D2D" w:rsidP="005B1D2D">
    <w:pPr>
      <w:pStyle w:val="Kopfzeile"/>
      <w:ind w:left="-1417"/>
      <w:jc w:val="center"/>
    </w:pPr>
    <w:r>
      <w:rPr>
        <w:noProof/>
        <w14:ligatures w14:val="none"/>
      </w:rPr>
      <w:drawing>
        <wp:inline distT="0" distB="0" distL="0" distR="0" wp14:anchorId="6F4B3934" wp14:editId="5D48E7E2">
          <wp:extent cx="6526566" cy="2581275"/>
          <wp:effectExtent l="0" t="0" r="762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571" cy="258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A7DFB" w14:textId="761FD1EF" w:rsidR="005B1D2D" w:rsidRDefault="005B1D2D" w:rsidP="005B1D2D">
    <w:pPr>
      <w:pStyle w:val="Kopfzeile"/>
      <w:ind w:left="-1417"/>
      <w:jc w:val="center"/>
    </w:pPr>
  </w:p>
  <w:p w14:paraId="3DC5B02A" w14:textId="7F58CE14" w:rsidR="005B1D2D" w:rsidRDefault="005B1D2D" w:rsidP="005B1D2D">
    <w:pPr>
      <w:pStyle w:val="Kopfzeile"/>
      <w:ind w:left="-1417"/>
      <w:jc w:val="center"/>
    </w:pPr>
  </w:p>
  <w:p w14:paraId="0CE6CC68" w14:textId="77777777" w:rsidR="005B1D2D" w:rsidRDefault="005B1D2D" w:rsidP="005B1D2D">
    <w:pPr>
      <w:pStyle w:val="Kopfzeile"/>
      <w:ind w:left="-141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D"/>
    <w:rsid w:val="00171763"/>
    <w:rsid w:val="00333527"/>
    <w:rsid w:val="005024B4"/>
    <w:rsid w:val="005B1D2D"/>
    <w:rsid w:val="00935039"/>
    <w:rsid w:val="00A34D31"/>
    <w:rsid w:val="00C76259"/>
    <w:rsid w:val="00CA206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CBE7"/>
  <w15:chartTrackingRefBased/>
  <w15:docId w15:val="{4A3CB296-7CA7-4CAD-AFF5-1BE373F8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35039"/>
    <w:pPr>
      <w:spacing w:after="0" w:line="240" w:lineRule="auto"/>
    </w:pPr>
    <w:rPr>
      <w:rFonts w:ascii="Myriad Pro" w:hAnsi="Myriad Pro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D2D"/>
    <w:rPr>
      <w:rFonts w:ascii="Myriad Pro" w:hAnsi="Myriad Pro" w:cs="Calibri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D2D"/>
    <w:rPr>
      <w:rFonts w:ascii="Myriad Pro" w:hAnsi="Myriad Pro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Virchowbund</dc:creator>
  <cp:keywords/>
  <dc:description/>
  <cp:lastModifiedBy>Adrian Zagler</cp:lastModifiedBy>
  <cp:revision>2</cp:revision>
  <dcterms:created xsi:type="dcterms:W3CDTF">2023-11-13T11:12:00Z</dcterms:created>
  <dcterms:modified xsi:type="dcterms:W3CDTF">2023-11-13T11:12:00Z</dcterms:modified>
</cp:coreProperties>
</file>